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6E117" w14:textId="22493B9C" w:rsidR="000E162E" w:rsidRPr="000E162E" w:rsidRDefault="000E162E" w:rsidP="00262DB4">
      <w:pPr>
        <w:shd w:val="clear" w:color="auto" w:fill="FFFFFF"/>
        <w:tabs>
          <w:tab w:val="num" w:pos="720"/>
        </w:tabs>
        <w:spacing w:after="0" w:line="240" w:lineRule="auto"/>
        <w:ind w:left="360" w:hanging="360"/>
        <w:rPr>
          <w:b/>
          <w:bCs/>
        </w:rPr>
      </w:pPr>
      <w:r w:rsidRPr="000E162E">
        <w:rPr>
          <w:b/>
          <w:bCs/>
        </w:rPr>
        <w:t>Land Use – General Subcommittee Meeting</w:t>
      </w:r>
    </w:p>
    <w:p w14:paraId="57C325F8" w14:textId="7CC61CC6" w:rsidR="000E162E" w:rsidRPr="000E162E" w:rsidRDefault="000E162E" w:rsidP="00262DB4">
      <w:pPr>
        <w:shd w:val="clear" w:color="auto" w:fill="FFFFFF"/>
        <w:tabs>
          <w:tab w:val="num" w:pos="720"/>
        </w:tabs>
        <w:spacing w:after="0" w:line="240" w:lineRule="auto"/>
        <w:ind w:left="360" w:hanging="360"/>
        <w:rPr>
          <w:b/>
          <w:bCs/>
        </w:rPr>
      </w:pPr>
      <w:r w:rsidRPr="000E162E">
        <w:rPr>
          <w:b/>
          <w:bCs/>
        </w:rPr>
        <w:t>Meeting #1 – 03-19-2026</w:t>
      </w:r>
    </w:p>
    <w:p w14:paraId="6DF35ADB" w14:textId="47A34149" w:rsidR="000E162E" w:rsidRPr="000E162E" w:rsidRDefault="000E162E" w:rsidP="00262DB4">
      <w:pPr>
        <w:shd w:val="clear" w:color="auto" w:fill="FFFFFF"/>
        <w:tabs>
          <w:tab w:val="num" w:pos="720"/>
        </w:tabs>
        <w:spacing w:after="0" w:line="240" w:lineRule="auto"/>
        <w:ind w:left="360" w:hanging="360"/>
        <w:rPr>
          <w:b/>
          <w:bCs/>
        </w:rPr>
      </w:pPr>
      <w:r w:rsidRPr="000E162E">
        <w:rPr>
          <w:b/>
          <w:bCs/>
        </w:rPr>
        <w:t>Combined Meeting Notes</w:t>
      </w:r>
    </w:p>
    <w:p w14:paraId="453FD3AE" w14:textId="77777777" w:rsidR="004367DB" w:rsidRDefault="004367DB" w:rsidP="004367DB">
      <w:pPr>
        <w:shd w:val="clear" w:color="auto" w:fill="FFFFFF"/>
        <w:spacing w:after="0" w:line="240" w:lineRule="auto"/>
        <w:rPr>
          <w:b/>
          <w:bCs/>
        </w:rPr>
      </w:pPr>
    </w:p>
    <w:p w14:paraId="05166D15" w14:textId="08050FE7" w:rsidR="004367DB" w:rsidRDefault="004367DB" w:rsidP="004367DB">
      <w:pPr>
        <w:shd w:val="clear" w:color="auto" w:fill="FFFFFF"/>
        <w:spacing w:after="0" w:line="240" w:lineRule="auto"/>
      </w:pPr>
      <w:r>
        <w:t>Attendees:</w:t>
      </w:r>
    </w:p>
    <w:p w14:paraId="48637181"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Robert Richardson</w:t>
      </w:r>
    </w:p>
    <w:p w14:paraId="2A064884"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Martha Hall</w:t>
      </w:r>
    </w:p>
    <w:p w14:paraId="4E18C3F2"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David Hanson</w:t>
      </w:r>
    </w:p>
    <w:p w14:paraId="27220C82"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Herman Hudson</w:t>
      </w:r>
    </w:p>
    <w:p w14:paraId="604698CA"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Raphael &amp; Aretha Wright</w:t>
      </w:r>
    </w:p>
    <w:p w14:paraId="0F6054C1"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Tim Southard</w:t>
      </w:r>
    </w:p>
    <w:p w14:paraId="7DA01BA5"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Dr. Mark Hali</w:t>
      </w:r>
    </w:p>
    <w:p w14:paraId="0251773D"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Cathy Peek</w:t>
      </w:r>
    </w:p>
    <w:p w14:paraId="0A582107"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Nicholas Oxford</w:t>
      </w:r>
    </w:p>
    <w:p w14:paraId="71F7B00E"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Dawn Scarbrough</w:t>
      </w:r>
    </w:p>
    <w:p w14:paraId="462A07DB"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Gloria R. Edwards</w:t>
      </w:r>
    </w:p>
    <w:p w14:paraId="557C3426"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Shronda M. Smith</w:t>
      </w:r>
    </w:p>
    <w:p w14:paraId="18E97C9C"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Steve Nygren</w:t>
      </w:r>
    </w:p>
    <w:p w14:paraId="505E283D"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Pat Lesko</w:t>
      </w:r>
    </w:p>
    <w:p w14:paraId="473A9582"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Doug Cloud</w:t>
      </w:r>
    </w:p>
    <w:p w14:paraId="2D8684E7"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Ted Wansley</w:t>
      </w:r>
    </w:p>
    <w:p w14:paraId="1CA5623E"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Paul Stockman</w:t>
      </w:r>
    </w:p>
    <w:p w14:paraId="0FB6B393"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Chad Jacobs</w:t>
      </w:r>
    </w:p>
    <w:p w14:paraId="6F13DA14"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Tom Hadfield</w:t>
      </w:r>
    </w:p>
    <w:p w14:paraId="67A21CA3"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Merlon Harper</w:t>
      </w:r>
    </w:p>
    <w:p w14:paraId="51317E4B"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Joseph Harper</w:t>
      </w:r>
    </w:p>
    <w:p w14:paraId="72C6DE5B"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Scott Licutsry</w:t>
      </w:r>
    </w:p>
    <w:p w14:paraId="524D4477"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Lisa Gibson</w:t>
      </w:r>
    </w:p>
    <w:p w14:paraId="7948695C"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Georgette Cooper</w:t>
      </w:r>
    </w:p>
    <w:p w14:paraId="69FEF058"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Christopher Smith</w:t>
      </w:r>
    </w:p>
    <w:p w14:paraId="74575EF8"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Allison Duncan</w:t>
      </w:r>
    </w:p>
    <w:p w14:paraId="56E34BB9"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Tamara Schwartz</w:t>
      </w:r>
    </w:p>
    <w:p w14:paraId="68DCED51"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John Reid</w:t>
      </w:r>
    </w:p>
    <w:p w14:paraId="7E8938F4"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Denise Solomon</w:t>
      </w:r>
    </w:p>
    <w:p w14:paraId="715AE47F"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Chris Smith</w:t>
      </w:r>
    </w:p>
    <w:p w14:paraId="46FCBFB7"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Tim Swanston</w:t>
      </w:r>
    </w:p>
    <w:p w14:paraId="6953B8C1"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Paul Gibson</w:t>
      </w:r>
    </w:p>
    <w:p w14:paraId="4BE3A5D2"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Georgette Cooper</w:t>
      </w:r>
    </w:p>
    <w:p w14:paraId="775D3DBB"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Nate Haskell</w:t>
      </w:r>
    </w:p>
    <w:p w14:paraId="4F1623F9"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Marc Schwartz</w:t>
      </w:r>
    </w:p>
    <w:p w14:paraId="1F6ED6CF"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Jeff Peek</w:t>
      </w:r>
    </w:p>
    <w:p w14:paraId="7A338462"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t>Will Duncan</w:t>
      </w:r>
    </w:p>
    <w:p w14:paraId="256AA4DB" w14:textId="77777777" w:rsidR="004367DB" w:rsidRPr="004D379B" w:rsidRDefault="004367DB" w:rsidP="004367DB">
      <w:pPr>
        <w:pStyle w:val="ListParagraph"/>
        <w:numPr>
          <w:ilvl w:val="0"/>
          <w:numId w:val="31"/>
        </w:numPr>
        <w:shd w:val="clear" w:color="auto" w:fill="FFFFFF"/>
        <w:tabs>
          <w:tab w:val="num" w:pos="720"/>
        </w:tabs>
        <w:spacing w:after="0" w:line="240" w:lineRule="auto"/>
      </w:pPr>
      <w:r w:rsidRPr="004D379B">
        <w:lastRenderedPageBreak/>
        <w:t>Scott Lightly</w:t>
      </w:r>
    </w:p>
    <w:p w14:paraId="074325C7" w14:textId="77777777" w:rsidR="004367DB" w:rsidRDefault="004367DB" w:rsidP="004367DB">
      <w:pPr>
        <w:pStyle w:val="ListParagraph"/>
        <w:numPr>
          <w:ilvl w:val="0"/>
          <w:numId w:val="31"/>
        </w:numPr>
        <w:shd w:val="clear" w:color="auto" w:fill="FFFFFF"/>
        <w:tabs>
          <w:tab w:val="num" w:pos="720"/>
        </w:tabs>
        <w:spacing w:after="0" w:line="240" w:lineRule="auto"/>
      </w:pPr>
      <w:r w:rsidRPr="004D379B">
        <w:t>Maria &amp; Dave Hanson</w:t>
      </w:r>
    </w:p>
    <w:p w14:paraId="5291AF76" w14:textId="77777777" w:rsidR="000E162E" w:rsidRDefault="000E162E" w:rsidP="00262DB4">
      <w:pPr>
        <w:shd w:val="clear" w:color="auto" w:fill="FFFFFF"/>
        <w:tabs>
          <w:tab w:val="num" w:pos="720"/>
        </w:tabs>
        <w:spacing w:after="0" w:line="240" w:lineRule="auto"/>
        <w:ind w:left="360" w:hanging="360"/>
        <w:rPr>
          <w:b/>
          <w:bCs/>
        </w:rPr>
      </w:pPr>
    </w:p>
    <w:p w14:paraId="16528E77" w14:textId="589C411A" w:rsidR="002B7A2E" w:rsidRDefault="002B7A2E" w:rsidP="00763D6D">
      <w:pPr>
        <w:spacing w:line="240" w:lineRule="auto"/>
      </w:pPr>
      <w:r w:rsidRPr="00CC7557">
        <w:t>The Land Use subcommittee was divided into two breakout groups</w:t>
      </w:r>
      <w:r w:rsidR="006F743E">
        <w:t xml:space="preserve"> </w:t>
      </w:r>
      <w:proofErr w:type="gramStart"/>
      <w:r w:rsidR="006F743E">
        <w:t>in order</w:t>
      </w:r>
      <w:r w:rsidR="006F743E" w:rsidRPr="00CC7557">
        <w:t xml:space="preserve"> </w:t>
      </w:r>
      <w:r w:rsidR="006F743E">
        <w:t>to</w:t>
      </w:r>
      <w:proofErr w:type="gramEnd"/>
      <w:r w:rsidR="006F743E">
        <w:t xml:space="preserve"> discuss two topics in more detail</w:t>
      </w:r>
      <w:r w:rsidRPr="00CC7557">
        <w:t xml:space="preserve">. </w:t>
      </w:r>
      <w:r w:rsidR="00CF6A0B">
        <w:t>The Land Use – General subcommittee met to discuss the types of development that residents want to see within Chattahoochee Hills, as well as ideal locations for growth.</w:t>
      </w:r>
    </w:p>
    <w:p w14:paraId="63BD3F63" w14:textId="6F1593EA" w:rsidR="002B7A2E" w:rsidRDefault="002B7A2E" w:rsidP="00763D6D">
      <w:pPr>
        <w:spacing w:line="240" w:lineRule="auto"/>
      </w:pPr>
      <w:r w:rsidRPr="00760590">
        <w:rPr>
          <w:rFonts w:ascii="Aptos" w:hAnsi="Aptos"/>
          <w:color w:val="000000"/>
        </w:rPr>
        <w:t xml:space="preserve">The </w:t>
      </w:r>
      <w:r>
        <w:rPr>
          <w:rFonts w:ascii="Aptos" w:hAnsi="Aptos"/>
          <w:color w:val="000000"/>
        </w:rPr>
        <w:t>group</w:t>
      </w:r>
      <w:r w:rsidRPr="00760590">
        <w:rPr>
          <w:rFonts w:ascii="Aptos" w:hAnsi="Aptos"/>
          <w:color w:val="000000"/>
        </w:rPr>
        <w:t xml:space="preserve"> was provided with a map detailing the existing sewer infrastructure</w:t>
      </w:r>
      <w:r w:rsidR="00B33042">
        <w:rPr>
          <w:rFonts w:ascii="Aptos" w:hAnsi="Aptos"/>
          <w:color w:val="000000"/>
        </w:rPr>
        <w:t>,</w:t>
      </w:r>
      <w:r w:rsidRPr="00760590">
        <w:rPr>
          <w:rFonts w:ascii="Aptos" w:hAnsi="Aptos"/>
          <w:color w:val="000000"/>
        </w:rPr>
        <w:t xml:space="preserve"> </w:t>
      </w:r>
      <w:r w:rsidR="00B33042">
        <w:rPr>
          <w:rFonts w:ascii="Aptos" w:hAnsi="Aptos"/>
          <w:color w:val="000000"/>
        </w:rPr>
        <w:t>a map of recent large scale rezonings and developments within the city,</w:t>
      </w:r>
      <w:r w:rsidRPr="00760590">
        <w:rPr>
          <w:rFonts w:ascii="Aptos" w:hAnsi="Aptos"/>
          <w:color w:val="000000"/>
        </w:rPr>
        <w:t xml:space="preserve"> and </w:t>
      </w:r>
      <w:r>
        <w:rPr>
          <w:rFonts w:ascii="Aptos" w:hAnsi="Aptos"/>
          <w:color w:val="000000"/>
        </w:rPr>
        <w:t xml:space="preserve">future </w:t>
      </w:r>
      <w:r w:rsidRPr="00760590">
        <w:rPr>
          <w:rFonts w:ascii="Aptos" w:hAnsi="Aptos"/>
          <w:color w:val="000000"/>
        </w:rPr>
        <w:t>development map</w:t>
      </w:r>
      <w:r>
        <w:rPr>
          <w:rFonts w:ascii="Aptos" w:hAnsi="Aptos"/>
          <w:color w:val="000000"/>
        </w:rPr>
        <w:t xml:space="preserve"> from the 2021 comprehensive plan.</w:t>
      </w:r>
    </w:p>
    <w:p w14:paraId="714BFBD3" w14:textId="315D36D0" w:rsidR="000E162E" w:rsidRPr="00262DB4" w:rsidRDefault="00CF6A0B" w:rsidP="00763D6D">
      <w:pPr>
        <w:spacing w:line="240" w:lineRule="auto"/>
      </w:pPr>
      <w:r>
        <w:t>A summary and key takeaways</w:t>
      </w:r>
      <w:r w:rsidR="00262DB4">
        <w:t xml:space="preserve"> from the subcommittee conversations </w:t>
      </w:r>
      <w:r w:rsidR="00763D6D">
        <w:t>follows.</w:t>
      </w:r>
      <w:r w:rsidR="00F655A9" w:rsidRPr="00F655A9">
        <w:rPr>
          <w:rFonts w:eastAsia="Times New Roman" w:cs="Times New Roman"/>
        </w:rPr>
        <w:t xml:space="preserve"> </w:t>
      </w:r>
      <w:r w:rsidR="00C26535">
        <w:rPr>
          <w:rFonts w:eastAsia="Times New Roman" w:cs="Times New Roman"/>
        </w:rPr>
        <w:pict w14:anchorId="29BEA9AC">
          <v:rect id="_x0000_i1025" style="width:0;height:1.5pt" o:hralign="center" o:hrstd="t" o:hr="t" fillcolor="#a0a0a0" stroked="f"/>
        </w:pict>
      </w:r>
    </w:p>
    <w:p w14:paraId="0E5EF19E"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1. 20-Acre Minimum Lot Size Requirement</w:t>
      </w:r>
    </w:p>
    <w:p w14:paraId="6B67F3A4" w14:textId="77777777" w:rsidR="00262DB4" w:rsidRPr="00262DB4" w:rsidRDefault="00262DB4" w:rsidP="00763D6D">
      <w:pPr>
        <w:numPr>
          <w:ilvl w:val="0"/>
          <w:numId w:val="18"/>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Several participants expressed concerns regarding the current 20-acre minimum lot size requirement. </w:t>
      </w:r>
    </w:p>
    <w:p w14:paraId="0DFAD218" w14:textId="77777777" w:rsidR="00262DB4" w:rsidRPr="00262DB4" w:rsidRDefault="00262DB4" w:rsidP="00763D6D">
      <w:pPr>
        <w:numPr>
          <w:ilvl w:val="0"/>
          <w:numId w:val="18"/>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Attendees noted a preference for the previous regulation, which allowed subdivision of approximately 29-acre parcels into up to three lots with a minimum of three acres each. </w:t>
      </w:r>
    </w:p>
    <w:p w14:paraId="6A5A8B67" w14:textId="77777777" w:rsidR="00262DB4" w:rsidRPr="00262DB4" w:rsidRDefault="00262DB4" w:rsidP="00763D6D">
      <w:pPr>
        <w:numPr>
          <w:ilvl w:val="0"/>
          <w:numId w:val="18"/>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The current standard was perceived by some as overly restrictive, particularly for property owners seeking to build an additional home for family members. </w:t>
      </w:r>
    </w:p>
    <w:p w14:paraId="3989D3E0" w14:textId="1FBBD611" w:rsidR="00262DB4" w:rsidRPr="00262DB4" w:rsidRDefault="00262DB4" w:rsidP="00763D6D">
      <w:pPr>
        <w:numPr>
          <w:ilvl w:val="0"/>
          <w:numId w:val="18"/>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One suggestion included revising the requirement to a 10- or 15-acre minimum, which could allow for limited additional residential development (e.g., two homes on a 20-acre parcel).</w:t>
      </w:r>
    </w:p>
    <w:p w14:paraId="77921D60"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2. Village Size Thresholds</w:t>
      </w:r>
    </w:p>
    <w:p w14:paraId="3B7DE662" w14:textId="77777777" w:rsidR="00262DB4" w:rsidRPr="00262DB4" w:rsidRDefault="00262DB4" w:rsidP="00763D6D">
      <w:pPr>
        <w:numPr>
          <w:ilvl w:val="0"/>
          <w:numId w:val="19"/>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Participants discussed recent changes to the minimum size of designated villages, noting a reduction from 1,000 acres to 500 acres. </w:t>
      </w:r>
    </w:p>
    <w:p w14:paraId="67FC16D7" w14:textId="77777777" w:rsidR="00262DB4" w:rsidRPr="00262DB4" w:rsidRDefault="00262DB4" w:rsidP="00763D6D">
      <w:pPr>
        <w:numPr>
          <w:ilvl w:val="0"/>
          <w:numId w:val="19"/>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Some attendees expressed concern that this change may represent inconsistency in policy or a “slippery slope.” </w:t>
      </w:r>
    </w:p>
    <w:p w14:paraId="582D1278" w14:textId="1C71EF03" w:rsidR="00262DB4" w:rsidRPr="00262DB4" w:rsidRDefault="00262DB4" w:rsidP="00763D6D">
      <w:pPr>
        <w:numPr>
          <w:ilvl w:val="0"/>
          <w:numId w:val="19"/>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Questions were raised regarding the rationale for the revised threshold and how it is being applied. </w:t>
      </w:r>
    </w:p>
    <w:p w14:paraId="542A772F"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3. Understanding Existing Entitlements and Approvals</w:t>
      </w:r>
    </w:p>
    <w:p w14:paraId="7C2B2DFF" w14:textId="77777777" w:rsidR="00262DB4" w:rsidRPr="00262DB4" w:rsidRDefault="00262DB4" w:rsidP="00763D6D">
      <w:pPr>
        <w:numPr>
          <w:ilvl w:val="0"/>
          <w:numId w:val="20"/>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There was a strong interest in better understanding what development has already been </w:t>
      </w:r>
      <w:proofErr w:type="gramStart"/>
      <w:r w:rsidRPr="00262DB4">
        <w:rPr>
          <w:rFonts w:eastAsia="Times New Roman" w:cs="Times New Roman"/>
          <w:kern w:val="0"/>
          <w14:ligatures w14:val="none"/>
        </w:rPr>
        <w:t>approved</w:t>
      </w:r>
      <w:proofErr w:type="gramEnd"/>
      <w:r w:rsidRPr="00262DB4">
        <w:rPr>
          <w:rFonts w:eastAsia="Times New Roman" w:cs="Times New Roman"/>
          <w:kern w:val="0"/>
          <w14:ligatures w14:val="none"/>
        </w:rPr>
        <w:t xml:space="preserve"> within the </w:t>
      </w:r>
      <w:proofErr w:type="gramStart"/>
      <w:r w:rsidRPr="00262DB4">
        <w:rPr>
          <w:rFonts w:eastAsia="Times New Roman" w:cs="Times New Roman"/>
          <w:kern w:val="0"/>
          <w14:ligatures w14:val="none"/>
        </w:rPr>
        <w:t>City</w:t>
      </w:r>
      <w:proofErr w:type="gramEnd"/>
      <w:r w:rsidRPr="00262DB4">
        <w:rPr>
          <w:rFonts w:eastAsia="Times New Roman" w:cs="Times New Roman"/>
          <w:kern w:val="0"/>
          <w14:ligatures w14:val="none"/>
        </w:rPr>
        <w:t xml:space="preserve">. </w:t>
      </w:r>
    </w:p>
    <w:p w14:paraId="1F908D5E" w14:textId="77777777" w:rsidR="00262DB4" w:rsidRPr="00262DB4" w:rsidRDefault="00262DB4" w:rsidP="00763D6D">
      <w:pPr>
        <w:numPr>
          <w:ilvl w:val="0"/>
          <w:numId w:val="20"/>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Participants emphasized the importance of establishing a clear “baseline” for the comprehensive plan based on existing entitlements. </w:t>
      </w:r>
    </w:p>
    <w:p w14:paraId="078C2133" w14:textId="77777777" w:rsidR="00262DB4" w:rsidRPr="00262DB4" w:rsidRDefault="00262DB4" w:rsidP="00763D6D">
      <w:pPr>
        <w:numPr>
          <w:ilvl w:val="0"/>
          <w:numId w:val="20"/>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A perceived lack of alignment between the Future Development Map, zoning map, and infrastructure plans was noted. </w:t>
      </w:r>
    </w:p>
    <w:p w14:paraId="764B7FE3" w14:textId="56D74BCA" w:rsidR="00262DB4" w:rsidRPr="00262DB4" w:rsidRDefault="00262DB4" w:rsidP="00763D6D">
      <w:pPr>
        <w:numPr>
          <w:ilvl w:val="0"/>
          <w:numId w:val="20"/>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lastRenderedPageBreak/>
        <w:t xml:space="preserve">Attendees expressed a desire for improved clarity and transparency regarding current conditions and approved developments. </w:t>
      </w:r>
    </w:p>
    <w:p w14:paraId="49761B74"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4. South Fulton Parkway Vision and Future Development</w:t>
      </w:r>
    </w:p>
    <w:p w14:paraId="530811DF" w14:textId="77777777" w:rsidR="00262DB4" w:rsidRPr="00262DB4" w:rsidRDefault="00262DB4" w:rsidP="00763D6D">
      <w:pPr>
        <w:numPr>
          <w:ilvl w:val="0"/>
          <w:numId w:val="21"/>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Building on the need for clarity, participants discussed how the vision for South Fulton Parkway should be revisited. </w:t>
      </w:r>
    </w:p>
    <w:p w14:paraId="77A284F4" w14:textId="77777777" w:rsidR="00262DB4" w:rsidRPr="00262DB4" w:rsidRDefault="00262DB4" w:rsidP="00763D6D">
      <w:pPr>
        <w:numPr>
          <w:ilvl w:val="0"/>
          <w:numId w:val="21"/>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The Future Development Map was described as overly broad and lacking specificity along this corridor. </w:t>
      </w:r>
    </w:p>
    <w:p w14:paraId="30D388E4" w14:textId="77777777" w:rsidR="00262DB4" w:rsidRPr="00262DB4" w:rsidRDefault="00262DB4" w:rsidP="00763D6D">
      <w:pPr>
        <w:numPr>
          <w:ilvl w:val="0"/>
          <w:numId w:val="21"/>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Concerns were raised about the extent and continuity of planned development, particularly </w:t>
      </w:r>
      <w:proofErr w:type="gramStart"/>
      <w:r w:rsidRPr="00262DB4">
        <w:rPr>
          <w:rFonts w:eastAsia="Times New Roman" w:cs="Times New Roman"/>
          <w:kern w:val="0"/>
          <w14:ligatures w14:val="none"/>
        </w:rPr>
        <w:t>in light of</w:t>
      </w:r>
      <w:proofErr w:type="gramEnd"/>
      <w:r w:rsidRPr="00262DB4">
        <w:rPr>
          <w:rFonts w:eastAsia="Times New Roman" w:cs="Times New Roman"/>
          <w:kern w:val="0"/>
          <w14:ligatures w14:val="none"/>
        </w:rPr>
        <w:t xml:space="preserve"> the goal to preserve 70% of land. </w:t>
      </w:r>
    </w:p>
    <w:p w14:paraId="3E375D3B" w14:textId="77777777" w:rsidR="00262DB4" w:rsidRPr="00262DB4" w:rsidRDefault="00262DB4" w:rsidP="00763D6D">
      <w:pPr>
        <w:numPr>
          <w:ilvl w:val="0"/>
          <w:numId w:val="21"/>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Some participants suggested transitioning from a continuous development pattern to a series of defined nodes. </w:t>
      </w:r>
    </w:p>
    <w:p w14:paraId="487EE8A9" w14:textId="2723BDE1" w:rsidR="00262DB4" w:rsidRPr="00262DB4" w:rsidRDefault="00262DB4" w:rsidP="00763D6D">
      <w:pPr>
        <w:numPr>
          <w:ilvl w:val="0"/>
          <w:numId w:val="21"/>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Questions were also raised regarding </w:t>
      </w:r>
      <w:proofErr w:type="gramStart"/>
      <w:r w:rsidRPr="00262DB4">
        <w:rPr>
          <w:rFonts w:eastAsia="Times New Roman" w:cs="Times New Roman"/>
          <w:kern w:val="0"/>
          <w14:ligatures w14:val="none"/>
        </w:rPr>
        <w:t>land ownership</w:t>
      </w:r>
      <w:proofErr w:type="gramEnd"/>
      <w:r w:rsidRPr="00262DB4">
        <w:rPr>
          <w:rFonts w:eastAsia="Times New Roman" w:cs="Times New Roman"/>
          <w:kern w:val="0"/>
          <w14:ligatures w14:val="none"/>
        </w:rPr>
        <w:t xml:space="preserve"> along the corridor. </w:t>
      </w:r>
    </w:p>
    <w:p w14:paraId="47B0693F"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5. Village Centers and Historic Crossroads</w:t>
      </w:r>
    </w:p>
    <w:p w14:paraId="55C26529" w14:textId="77777777" w:rsidR="00262DB4" w:rsidRPr="00262DB4" w:rsidRDefault="00262DB4" w:rsidP="00763D6D">
      <w:pPr>
        <w:numPr>
          <w:ilvl w:val="0"/>
          <w:numId w:val="22"/>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Participants noted that Village Centers may have been removed from the previous plan. </w:t>
      </w:r>
    </w:p>
    <w:p w14:paraId="1DAFB67B" w14:textId="77777777" w:rsidR="00262DB4" w:rsidRPr="00262DB4" w:rsidRDefault="00262DB4" w:rsidP="00763D6D">
      <w:pPr>
        <w:numPr>
          <w:ilvl w:val="0"/>
          <w:numId w:val="22"/>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However, there was general support for focusing on historic crossroads as appropriate locations for reinvestment and context-sensitive development. </w:t>
      </w:r>
    </w:p>
    <w:p w14:paraId="67888DA4" w14:textId="6C68AFED" w:rsidR="00262DB4" w:rsidRPr="00262DB4" w:rsidRDefault="00262DB4" w:rsidP="00763D6D">
      <w:pPr>
        <w:numPr>
          <w:ilvl w:val="0"/>
          <w:numId w:val="22"/>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Attendees emphasized the importance of ensuring that any growth in these areas aligns with the existing character. </w:t>
      </w:r>
    </w:p>
    <w:p w14:paraId="7CAEBC98"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6. Transfer of Development Rights (TDR)</w:t>
      </w:r>
    </w:p>
    <w:p w14:paraId="56860243" w14:textId="77777777" w:rsidR="00262DB4" w:rsidRPr="00262DB4" w:rsidRDefault="00262DB4" w:rsidP="00763D6D">
      <w:pPr>
        <w:numPr>
          <w:ilvl w:val="0"/>
          <w:numId w:val="23"/>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While participants were familiar with the concept of TDR, many indicated that the program is </w:t>
      </w:r>
      <w:proofErr w:type="gramStart"/>
      <w:r w:rsidRPr="00262DB4">
        <w:rPr>
          <w:rFonts w:eastAsia="Times New Roman" w:cs="Times New Roman"/>
          <w:kern w:val="0"/>
          <w14:ligatures w14:val="none"/>
        </w:rPr>
        <w:t>not functioning</w:t>
      </w:r>
      <w:proofErr w:type="gramEnd"/>
      <w:r w:rsidRPr="00262DB4">
        <w:rPr>
          <w:rFonts w:eastAsia="Times New Roman" w:cs="Times New Roman"/>
          <w:kern w:val="0"/>
          <w14:ligatures w14:val="none"/>
        </w:rPr>
        <w:t xml:space="preserve"> effectively in practice. </w:t>
      </w:r>
    </w:p>
    <w:p w14:paraId="6E11A5AB" w14:textId="77777777" w:rsidR="00262DB4" w:rsidRPr="00262DB4" w:rsidRDefault="00262DB4" w:rsidP="00763D6D">
      <w:pPr>
        <w:numPr>
          <w:ilvl w:val="0"/>
          <w:numId w:val="23"/>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The overall concept of using TDR to support land preservation was viewed positively. </w:t>
      </w:r>
    </w:p>
    <w:p w14:paraId="41451235" w14:textId="46D84DDA" w:rsidR="00262DB4" w:rsidRPr="00262DB4" w:rsidRDefault="00262DB4" w:rsidP="00763D6D">
      <w:pPr>
        <w:numPr>
          <w:ilvl w:val="0"/>
          <w:numId w:val="23"/>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Suggestions included exploring the creation of a public funding mechanism or revising program requirements to improve feasibility and participation. </w:t>
      </w:r>
    </w:p>
    <w:p w14:paraId="11D85685"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7. Conservation Easement Compliance and Enforcement</w:t>
      </w:r>
    </w:p>
    <w:p w14:paraId="337BE8EF" w14:textId="77777777" w:rsidR="00262DB4" w:rsidRPr="00262DB4" w:rsidRDefault="00262DB4" w:rsidP="00763D6D">
      <w:pPr>
        <w:numPr>
          <w:ilvl w:val="0"/>
          <w:numId w:val="24"/>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Questions were raised regarding responsibility for monitoring and enforcing conservation easements. </w:t>
      </w:r>
    </w:p>
    <w:p w14:paraId="33A3F0A4" w14:textId="77777777" w:rsidR="00262DB4" w:rsidRPr="00262DB4" w:rsidRDefault="00262DB4" w:rsidP="00763D6D">
      <w:pPr>
        <w:numPr>
          <w:ilvl w:val="0"/>
          <w:numId w:val="24"/>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Participants expressed concern that enforcement may be limited, resulting in inconsistent compliance. </w:t>
      </w:r>
    </w:p>
    <w:p w14:paraId="291E6B4E" w14:textId="2CE1463F" w:rsidR="00262DB4" w:rsidRPr="00262DB4" w:rsidRDefault="00262DB4" w:rsidP="00763D6D">
      <w:pPr>
        <w:numPr>
          <w:ilvl w:val="0"/>
          <w:numId w:val="24"/>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There is a perception that conservation requirements are not being adequately upheld. </w:t>
      </w:r>
    </w:p>
    <w:p w14:paraId="0F075373"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8. Water Resources and Wildlife Corridors</w:t>
      </w:r>
    </w:p>
    <w:p w14:paraId="27191A87" w14:textId="77777777" w:rsidR="00262DB4" w:rsidRPr="00262DB4" w:rsidRDefault="00262DB4" w:rsidP="00763D6D">
      <w:pPr>
        <w:numPr>
          <w:ilvl w:val="0"/>
          <w:numId w:val="25"/>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Participants emphasized the need for clearer identification of water resources and wildlife corridors. </w:t>
      </w:r>
    </w:p>
    <w:p w14:paraId="091B65EB" w14:textId="77777777" w:rsidR="00262DB4" w:rsidRPr="00262DB4" w:rsidRDefault="00262DB4" w:rsidP="00763D6D">
      <w:pPr>
        <w:numPr>
          <w:ilvl w:val="0"/>
          <w:numId w:val="25"/>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Questions were raised about what areas have been preserved to date. </w:t>
      </w:r>
    </w:p>
    <w:p w14:paraId="529E4E6D" w14:textId="62E70AAF" w:rsidR="00262DB4" w:rsidRPr="00262DB4" w:rsidRDefault="00262DB4" w:rsidP="00763D6D">
      <w:pPr>
        <w:numPr>
          <w:ilvl w:val="0"/>
          <w:numId w:val="25"/>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lastRenderedPageBreak/>
        <w:t xml:space="preserve">There was a desire for improved communication and mapping to better illustrate conservation priorities and outcomes. </w:t>
      </w:r>
    </w:p>
    <w:p w14:paraId="1E3394E0"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9. Legacy Family Provision</w:t>
      </w:r>
    </w:p>
    <w:p w14:paraId="3BE310B8" w14:textId="77777777" w:rsidR="00262DB4" w:rsidRPr="00262DB4" w:rsidRDefault="00262DB4" w:rsidP="00763D6D">
      <w:pPr>
        <w:numPr>
          <w:ilvl w:val="0"/>
          <w:numId w:val="26"/>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The Legacy Family provision, established in recent years, was discussed. </w:t>
      </w:r>
    </w:p>
    <w:p w14:paraId="1105374B" w14:textId="77777777" w:rsidR="00262DB4" w:rsidRPr="00262DB4" w:rsidRDefault="00262DB4" w:rsidP="00763D6D">
      <w:pPr>
        <w:numPr>
          <w:ilvl w:val="0"/>
          <w:numId w:val="26"/>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Participants noted that eligibility is tied to land ownership prior to 2008. </w:t>
      </w:r>
    </w:p>
    <w:p w14:paraId="3E819D26" w14:textId="5DF36051" w:rsidR="00262DB4" w:rsidRPr="00262DB4" w:rsidRDefault="00262DB4" w:rsidP="00763D6D">
      <w:pPr>
        <w:numPr>
          <w:ilvl w:val="0"/>
          <w:numId w:val="26"/>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Concerns were raised that this may be inequitable for individuals who purchased property after 2008 but prior to the adoption of the 20-acre rule. </w:t>
      </w:r>
    </w:p>
    <w:p w14:paraId="0D76946C"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10. Implementation and Enforcement of the Comprehensive Plan</w:t>
      </w:r>
    </w:p>
    <w:p w14:paraId="1928B001" w14:textId="77777777" w:rsidR="00262DB4" w:rsidRPr="00262DB4" w:rsidRDefault="00262DB4" w:rsidP="00763D6D">
      <w:pPr>
        <w:numPr>
          <w:ilvl w:val="0"/>
          <w:numId w:val="27"/>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Participants noted that previous versions of the Comprehensive Plan have emphasized vision but lacked strong implementation mechanisms. </w:t>
      </w:r>
    </w:p>
    <w:p w14:paraId="73B91A36" w14:textId="5DF338FD" w:rsidR="00262DB4" w:rsidRPr="00262DB4" w:rsidRDefault="00262DB4" w:rsidP="00763D6D">
      <w:pPr>
        <w:numPr>
          <w:ilvl w:val="0"/>
          <w:numId w:val="27"/>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There was interest in identifying ways to strengthen the plan’s effectiveness, including clearer implementation strategies and enforcement tools. </w:t>
      </w:r>
    </w:p>
    <w:p w14:paraId="1F2F864D"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11. Design Standards</w:t>
      </w:r>
    </w:p>
    <w:p w14:paraId="7D3FF509" w14:textId="77777777" w:rsidR="00262DB4" w:rsidRPr="00262DB4" w:rsidRDefault="00262DB4" w:rsidP="00763D6D">
      <w:pPr>
        <w:numPr>
          <w:ilvl w:val="0"/>
          <w:numId w:val="28"/>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The potential need for design standards was discussed. </w:t>
      </w:r>
    </w:p>
    <w:p w14:paraId="19A85BE6" w14:textId="77777777" w:rsidR="00262DB4" w:rsidRPr="00262DB4" w:rsidRDefault="00262DB4" w:rsidP="00763D6D">
      <w:pPr>
        <w:numPr>
          <w:ilvl w:val="0"/>
          <w:numId w:val="28"/>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While not typically addressed directly within the scope of a Comprehensive Plan, participants suggested this could be included as a recommendation for future action. </w:t>
      </w:r>
    </w:p>
    <w:p w14:paraId="5255868A" w14:textId="2FFBB9CD" w:rsidR="00262DB4" w:rsidRPr="00262DB4" w:rsidRDefault="00262DB4" w:rsidP="00763D6D">
      <w:pPr>
        <w:numPr>
          <w:ilvl w:val="0"/>
          <w:numId w:val="28"/>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Questions remain regarding the appropriate scope and application of such standards. </w:t>
      </w:r>
    </w:p>
    <w:p w14:paraId="36174FC0"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12. Data Centers</w:t>
      </w:r>
    </w:p>
    <w:p w14:paraId="375B36A4" w14:textId="77777777" w:rsidR="00262DB4" w:rsidRPr="00262DB4" w:rsidRDefault="00262DB4" w:rsidP="00763D6D">
      <w:pPr>
        <w:numPr>
          <w:ilvl w:val="0"/>
          <w:numId w:val="29"/>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Participants raised questions about whether data centers should be addressed within the Comprehensive Plan. </w:t>
      </w:r>
    </w:p>
    <w:p w14:paraId="1D929738" w14:textId="6AE17156" w:rsidR="00262DB4" w:rsidRPr="00262DB4" w:rsidRDefault="00262DB4" w:rsidP="00763D6D">
      <w:pPr>
        <w:numPr>
          <w:ilvl w:val="0"/>
          <w:numId w:val="29"/>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There was uncertainty regarding the necessity and appropriateness of including guidance related to this land use. </w:t>
      </w:r>
    </w:p>
    <w:p w14:paraId="1BBFF4EC" w14:textId="77777777" w:rsidR="00262DB4" w:rsidRPr="00262DB4" w:rsidRDefault="00262DB4" w:rsidP="00763D6D">
      <w:pPr>
        <w:spacing w:before="100" w:beforeAutospacing="1" w:after="100" w:afterAutospacing="1" w:line="240" w:lineRule="auto"/>
        <w:outlineLvl w:val="2"/>
        <w:rPr>
          <w:rFonts w:eastAsia="Times New Roman" w:cs="Times New Roman"/>
          <w:b/>
          <w:bCs/>
          <w:kern w:val="0"/>
          <w14:ligatures w14:val="none"/>
        </w:rPr>
      </w:pPr>
      <w:r w:rsidRPr="00262DB4">
        <w:rPr>
          <w:rFonts w:eastAsia="Times New Roman" w:cs="Times New Roman"/>
          <w:b/>
          <w:bCs/>
          <w:kern w:val="0"/>
          <w14:ligatures w14:val="none"/>
        </w:rPr>
        <w:t>13. Short-Term Rentals and Cottage Development</w:t>
      </w:r>
    </w:p>
    <w:p w14:paraId="2E23B057" w14:textId="77777777" w:rsidR="00262DB4" w:rsidRPr="00262DB4" w:rsidRDefault="00262DB4" w:rsidP="00763D6D">
      <w:pPr>
        <w:numPr>
          <w:ilvl w:val="0"/>
          <w:numId w:val="30"/>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Some participants expressed concern regarding recent proposals for cottage-style and short-term rental developments. </w:t>
      </w:r>
    </w:p>
    <w:p w14:paraId="2A30D2B2" w14:textId="77777777" w:rsidR="00262DB4" w:rsidRPr="00262DB4" w:rsidRDefault="00262DB4" w:rsidP="00763D6D">
      <w:pPr>
        <w:numPr>
          <w:ilvl w:val="0"/>
          <w:numId w:val="30"/>
        </w:numPr>
        <w:tabs>
          <w:tab w:val="clear" w:pos="720"/>
          <w:tab w:val="num" w:pos="360"/>
        </w:tabs>
        <w:spacing w:before="100" w:beforeAutospacing="1" w:after="100" w:afterAutospacing="1" w:line="240" w:lineRule="auto"/>
        <w:ind w:left="360"/>
        <w:rPr>
          <w:rFonts w:eastAsia="Times New Roman" w:cs="Times New Roman"/>
          <w:kern w:val="0"/>
          <w14:ligatures w14:val="none"/>
        </w:rPr>
      </w:pPr>
      <w:r w:rsidRPr="00262DB4">
        <w:rPr>
          <w:rFonts w:eastAsia="Times New Roman" w:cs="Times New Roman"/>
          <w:kern w:val="0"/>
          <w14:ligatures w14:val="none"/>
        </w:rPr>
        <w:t xml:space="preserve">While not a primary focus of discussion, this issue was noted as an emerging concern within the community. </w:t>
      </w:r>
    </w:p>
    <w:p w14:paraId="33D02AC6" w14:textId="77777777" w:rsidR="00DD09CC" w:rsidRDefault="00DD09CC" w:rsidP="00763D6D">
      <w:pPr>
        <w:spacing w:line="240" w:lineRule="auto"/>
      </w:pPr>
    </w:p>
    <w:p w14:paraId="7938AB7D" w14:textId="77777777" w:rsidR="00DD09CC" w:rsidRDefault="00DD09CC" w:rsidP="00763D6D">
      <w:pPr>
        <w:spacing w:line="240" w:lineRule="auto"/>
      </w:pPr>
    </w:p>
    <w:p w14:paraId="0EDAD459" w14:textId="77777777" w:rsidR="00C26535" w:rsidRDefault="00C26535" w:rsidP="00763D6D">
      <w:pPr>
        <w:spacing w:line="240" w:lineRule="auto"/>
      </w:pPr>
    </w:p>
    <w:p w14:paraId="347F790E" w14:textId="77777777" w:rsidR="00C26535" w:rsidRDefault="00C26535" w:rsidP="00763D6D">
      <w:pPr>
        <w:spacing w:line="240" w:lineRule="auto"/>
      </w:pPr>
    </w:p>
    <w:p w14:paraId="45A319EA" w14:textId="4C611BFD" w:rsidR="00DD09CC" w:rsidRPr="00DD09CC" w:rsidRDefault="00C26535" w:rsidP="00763D6D">
      <w:pPr>
        <w:spacing w:line="240" w:lineRule="auto"/>
        <w:rPr>
          <w:b/>
          <w:bCs/>
        </w:rPr>
      </w:pPr>
      <w:r>
        <w:rPr>
          <w:rFonts w:eastAsia="Times New Roman" w:cs="Times New Roman"/>
        </w:rPr>
        <w:lastRenderedPageBreak/>
        <w:pict w14:anchorId="71CFCFBB">
          <v:rect id="_x0000_i1026" style="width:0;height:1.5pt" o:hralign="center" o:hrstd="t" o:hr="t" fillcolor="#a0a0a0" stroked="f"/>
        </w:pict>
      </w:r>
      <w:r w:rsidR="00DD09CC" w:rsidRPr="00DD09CC">
        <w:rPr>
          <w:b/>
          <w:bCs/>
        </w:rPr>
        <w:t>Key Takeaways</w:t>
      </w:r>
    </w:p>
    <w:p w14:paraId="0A2AC811" w14:textId="71BD9A2B" w:rsidR="00164A55" w:rsidRDefault="00DD09CC" w:rsidP="00763D6D">
      <w:pPr>
        <w:spacing w:line="240" w:lineRule="auto"/>
      </w:pPr>
      <w:r w:rsidRPr="00DD09CC">
        <w:t>Participants raised a range of concerns centered on balancing growth</w:t>
      </w:r>
      <w:r>
        <w:t xml:space="preserve"> </w:t>
      </w:r>
      <w:r w:rsidRPr="00DD09CC">
        <w:t>and conservation within the community. Key themes included dissatisfaction with current development regulations</w:t>
      </w:r>
      <w:r>
        <w:t xml:space="preserve">, </w:t>
      </w:r>
      <w:r w:rsidRPr="00DD09CC">
        <w:t>particularly the 20-acre minimum lot size and Legacy Family provision</w:t>
      </w:r>
      <w:r>
        <w:t xml:space="preserve">, </w:t>
      </w:r>
      <w:r w:rsidRPr="00DD09CC">
        <w:t xml:space="preserve">which were viewed by some as restrictive. There was a strong desire for greater clarity regarding existing entitlements and better alignment between planning tools, including the Future Development Map, zoning, and infrastructure. Participants also emphasized the need to refine the vision for key areas such as South Fulton Parkway, suggesting a more targeted, node-based approach to development that supports the community’s land preservation goals. Additional concerns focused on the effectiveness of existing tools and policies, including TDR programs, conservation easement enforcement, and the overall implementation of the Comprehensive Plan. Emerging topics such as design standards, data centers, and short-term rentals were also identified as areas for </w:t>
      </w:r>
      <w:r w:rsidR="00B33042">
        <w:t>potential</w:t>
      </w:r>
      <w:r w:rsidR="00B33042" w:rsidRPr="00DD09CC">
        <w:t xml:space="preserve"> </w:t>
      </w:r>
      <w:r w:rsidRPr="00DD09CC">
        <w:t>consideration.</w:t>
      </w:r>
    </w:p>
    <w:p w14:paraId="6B9FBBD1" w14:textId="110EDD38" w:rsidR="00B33042" w:rsidRDefault="00B33042" w:rsidP="00763D6D">
      <w:pPr>
        <w:spacing w:line="240" w:lineRule="auto"/>
      </w:pPr>
      <w:r>
        <w:t xml:space="preserve">Future </w:t>
      </w:r>
      <w:r w:rsidR="00E932CF">
        <w:t>sub</w:t>
      </w:r>
      <w:r>
        <w:t xml:space="preserve">committee meetings will </w:t>
      </w:r>
      <w:proofErr w:type="gramStart"/>
      <w:r>
        <w:t>follow-up</w:t>
      </w:r>
      <w:proofErr w:type="gramEnd"/>
      <w:r>
        <w:t xml:space="preserve"> on the 20-acre rule, TDR, and potential refinements to the Future Land Use map.</w:t>
      </w:r>
    </w:p>
    <w:sectPr w:rsidR="00B330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022"/>
    <w:multiLevelType w:val="multilevel"/>
    <w:tmpl w:val="395C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32B1A"/>
    <w:multiLevelType w:val="hybridMultilevel"/>
    <w:tmpl w:val="69B22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C6139"/>
    <w:multiLevelType w:val="multilevel"/>
    <w:tmpl w:val="2BBA0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661B5"/>
    <w:multiLevelType w:val="multilevel"/>
    <w:tmpl w:val="61B4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420CF"/>
    <w:multiLevelType w:val="multilevel"/>
    <w:tmpl w:val="A7E0B5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4545D8"/>
    <w:multiLevelType w:val="multilevel"/>
    <w:tmpl w:val="78B41E44"/>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1C23233C"/>
    <w:multiLevelType w:val="multilevel"/>
    <w:tmpl w:val="C9066648"/>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1D421905"/>
    <w:multiLevelType w:val="multilevel"/>
    <w:tmpl w:val="FF644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681969"/>
    <w:multiLevelType w:val="multilevel"/>
    <w:tmpl w:val="136E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F54018"/>
    <w:multiLevelType w:val="multilevel"/>
    <w:tmpl w:val="1B18C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FA7FFE"/>
    <w:multiLevelType w:val="multilevel"/>
    <w:tmpl w:val="08B2D1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4F65D5"/>
    <w:multiLevelType w:val="multilevel"/>
    <w:tmpl w:val="EEC80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FD0F09"/>
    <w:multiLevelType w:val="multilevel"/>
    <w:tmpl w:val="0BFC24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894B06"/>
    <w:multiLevelType w:val="multilevel"/>
    <w:tmpl w:val="BBC2B1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E055E7"/>
    <w:multiLevelType w:val="multilevel"/>
    <w:tmpl w:val="7D48B3E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0125B7"/>
    <w:multiLevelType w:val="multilevel"/>
    <w:tmpl w:val="3FF60C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86370B"/>
    <w:multiLevelType w:val="multilevel"/>
    <w:tmpl w:val="D6B46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1B47ED"/>
    <w:multiLevelType w:val="multilevel"/>
    <w:tmpl w:val="1182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3348DB"/>
    <w:multiLevelType w:val="multilevel"/>
    <w:tmpl w:val="630E9A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8B5129"/>
    <w:multiLevelType w:val="multilevel"/>
    <w:tmpl w:val="97FE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EB27D9"/>
    <w:multiLevelType w:val="multilevel"/>
    <w:tmpl w:val="DE8EAE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1127AF"/>
    <w:multiLevelType w:val="multilevel"/>
    <w:tmpl w:val="6312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6F24CE"/>
    <w:multiLevelType w:val="multilevel"/>
    <w:tmpl w:val="659A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092397"/>
    <w:multiLevelType w:val="multilevel"/>
    <w:tmpl w:val="3D4CE82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71D71E73"/>
    <w:multiLevelType w:val="multilevel"/>
    <w:tmpl w:val="903C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660E43"/>
    <w:multiLevelType w:val="multilevel"/>
    <w:tmpl w:val="A3A2063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ED2CF6"/>
    <w:multiLevelType w:val="multilevel"/>
    <w:tmpl w:val="2DACA0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0000B9"/>
    <w:multiLevelType w:val="multilevel"/>
    <w:tmpl w:val="EA0C7DB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78AF3721"/>
    <w:multiLevelType w:val="multilevel"/>
    <w:tmpl w:val="45F4072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B7226C"/>
    <w:multiLevelType w:val="multilevel"/>
    <w:tmpl w:val="8D64D7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8C0537"/>
    <w:multiLevelType w:val="multilevel"/>
    <w:tmpl w:val="9DF6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0570700">
    <w:abstractNumId w:val="11"/>
  </w:num>
  <w:num w:numId="2" w16cid:durableId="137579959">
    <w:abstractNumId w:val="20"/>
  </w:num>
  <w:num w:numId="3" w16cid:durableId="851652972">
    <w:abstractNumId w:val="12"/>
  </w:num>
  <w:num w:numId="4" w16cid:durableId="1588149924">
    <w:abstractNumId w:val="13"/>
  </w:num>
  <w:num w:numId="5" w16cid:durableId="978994748">
    <w:abstractNumId w:val="18"/>
  </w:num>
  <w:num w:numId="6" w16cid:durableId="1739739914">
    <w:abstractNumId w:val="10"/>
  </w:num>
  <w:num w:numId="7" w16cid:durableId="343169517">
    <w:abstractNumId w:val="29"/>
  </w:num>
  <w:num w:numId="8" w16cid:durableId="1181698975">
    <w:abstractNumId w:val="4"/>
  </w:num>
  <w:num w:numId="9" w16cid:durableId="978877816">
    <w:abstractNumId w:val="15"/>
  </w:num>
  <w:num w:numId="10" w16cid:durableId="704981671">
    <w:abstractNumId w:val="14"/>
  </w:num>
  <w:num w:numId="11" w16cid:durableId="2070808679">
    <w:abstractNumId w:val="26"/>
  </w:num>
  <w:num w:numId="12" w16cid:durableId="373621395">
    <w:abstractNumId w:val="28"/>
  </w:num>
  <w:num w:numId="13" w16cid:durableId="1623685697">
    <w:abstractNumId w:val="25"/>
  </w:num>
  <w:num w:numId="14" w16cid:durableId="2058967312">
    <w:abstractNumId w:val="23"/>
  </w:num>
  <w:num w:numId="15" w16cid:durableId="1431509103">
    <w:abstractNumId w:val="27"/>
  </w:num>
  <w:num w:numId="16" w16cid:durableId="733502216">
    <w:abstractNumId w:val="5"/>
  </w:num>
  <w:num w:numId="17" w16cid:durableId="631448679">
    <w:abstractNumId w:val="6"/>
  </w:num>
  <w:num w:numId="18" w16cid:durableId="811023840">
    <w:abstractNumId w:val="19"/>
  </w:num>
  <w:num w:numId="19" w16cid:durableId="1610887520">
    <w:abstractNumId w:val="22"/>
  </w:num>
  <w:num w:numId="20" w16cid:durableId="798574202">
    <w:abstractNumId w:val="17"/>
  </w:num>
  <w:num w:numId="21" w16cid:durableId="793446842">
    <w:abstractNumId w:val="21"/>
  </w:num>
  <w:num w:numId="22" w16cid:durableId="1285114176">
    <w:abstractNumId w:val="16"/>
  </w:num>
  <w:num w:numId="23" w16cid:durableId="1939869019">
    <w:abstractNumId w:val="24"/>
  </w:num>
  <w:num w:numId="24" w16cid:durableId="1401824221">
    <w:abstractNumId w:val="0"/>
  </w:num>
  <w:num w:numId="25" w16cid:durableId="597105535">
    <w:abstractNumId w:val="2"/>
  </w:num>
  <w:num w:numId="26" w16cid:durableId="1496799952">
    <w:abstractNumId w:val="30"/>
  </w:num>
  <w:num w:numId="27" w16cid:durableId="693195515">
    <w:abstractNumId w:val="9"/>
  </w:num>
  <w:num w:numId="28" w16cid:durableId="88473950">
    <w:abstractNumId w:val="7"/>
  </w:num>
  <w:num w:numId="29" w16cid:durableId="266350652">
    <w:abstractNumId w:val="3"/>
  </w:num>
  <w:num w:numId="30" w16cid:durableId="1598710457">
    <w:abstractNumId w:val="8"/>
  </w:num>
  <w:num w:numId="31" w16cid:durableId="635260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D0"/>
    <w:rsid w:val="000E162E"/>
    <w:rsid w:val="000F2EC7"/>
    <w:rsid w:val="00164A55"/>
    <w:rsid w:val="00170922"/>
    <w:rsid w:val="00262DB4"/>
    <w:rsid w:val="00273DD0"/>
    <w:rsid w:val="002B7A2E"/>
    <w:rsid w:val="00421A07"/>
    <w:rsid w:val="004367DB"/>
    <w:rsid w:val="004B2F14"/>
    <w:rsid w:val="0056063D"/>
    <w:rsid w:val="006060A3"/>
    <w:rsid w:val="00632F61"/>
    <w:rsid w:val="00681A11"/>
    <w:rsid w:val="006E5197"/>
    <w:rsid w:val="006F743E"/>
    <w:rsid w:val="00763D6D"/>
    <w:rsid w:val="0084069A"/>
    <w:rsid w:val="008E025B"/>
    <w:rsid w:val="009D61E4"/>
    <w:rsid w:val="00A952E3"/>
    <w:rsid w:val="00B33042"/>
    <w:rsid w:val="00C26535"/>
    <w:rsid w:val="00CF6A0B"/>
    <w:rsid w:val="00DD09CC"/>
    <w:rsid w:val="00DF65CB"/>
    <w:rsid w:val="00E932CF"/>
    <w:rsid w:val="00E96A55"/>
    <w:rsid w:val="00EB1630"/>
    <w:rsid w:val="00EC0835"/>
    <w:rsid w:val="00F65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2FA1653"/>
  <w15:chartTrackingRefBased/>
  <w15:docId w15:val="{9099894E-F3F1-4AE9-AAAA-C88831B89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D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D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D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D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D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D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D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D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D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D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D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D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D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D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D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DD0"/>
    <w:rPr>
      <w:rFonts w:eastAsiaTheme="majorEastAsia" w:cstheme="majorBidi"/>
      <w:color w:val="272727" w:themeColor="text1" w:themeTint="D8"/>
    </w:rPr>
  </w:style>
  <w:style w:type="paragraph" w:styleId="Title">
    <w:name w:val="Title"/>
    <w:basedOn w:val="Normal"/>
    <w:next w:val="Normal"/>
    <w:link w:val="TitleChar"/>
    <w:uiPriority w:val="10"/>
    <w:qFormat/>
    <w:rsid w:val="00273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D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D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D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DD0"/>
    <w:pPr>
      <w:spacing w:before="160"/>
      <w:jc w:val="center"/>
    </w:pPr>
    <w:rPr>
      <w:i/>
      <w:iCs/>
      <w:color w:val="404040" w:themeColor="text1" w:themeTint="BF"/>
    </w:rPr>
  </w:style>
  <w:style w:type="character" w:customStyle="1" w:styleId="QuoteChar">
    <w:name w:val="Quote Char"/>
    <w:basedOn w:val="DefaultParagraphFont"/>
    <w:link w:val="Quote"/>
    <w:uiPriority w:val="29"/>
    <w:rsid w:val="00273DD0"/>
    <w:rPr>
      <w:i/>
      <w:iCs/>
      <w:color w:val="404040" w:themeColor="text1" w:themeTint="BF"/>
    </w:rPr>
  </w:style>
  <w:style w:type="paragraph" w:styleId="ListParagraph">
    <w:name w:val="List Paragraph"/>
    <w:basedOn w:val="Normal"/>
    <w:uiPriority w:val="34"/>
    <w:qFormat/>
    <w:rsid w:val="00273DD0"/>
    <w:pPr>
      <w:ind w:left="720"/>
      <w:contextualSpacing/>
    </w:pPr>
  </w:style>
  <w:style w:type="character" w:styleId="IntenseEmphasis">
    <w:name w:val="Intense Emphasis"/>
    <w:basedOn w:val="DefaultParagraphFont"/>
    <w:uiPriority w:val="21"/>
    <w:qFormat/>
    <w:rsid w:val="00273DD0"/>
    <w:rPr>
      <w:i/>
      <w:iCs/>
      <w:color w:val="0F4761" w:themeColor="accent1" w:themeShade="BF"/>
    </w:rPr>
  </w:style>
  <w:style w:type="paragraph" w:styleId="IntenseQuote">
    <w:name w:val="Intense Quote"/>
    <w:basedOn w:val="Normal"/>
    <w:next w:val="Normal"/>
    <w:link w:val="IntenseQuoteChar"/>
    <w:uiPriority w:val="30"/>
    <w:qFormat/>
    <w:rsid w:val="00273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DD0"/>
    <w:rPr>
      <w:i/>
      <w:iCs/>
      <w:color w:val="0F4761" w:themeColor="accent1" w:themeShade="BF"/>
    </w:rPr>
  </w:style>
  <w:style w:type="character" w:styleId="IntenseReference">
    <w:name w:val="Intense Reference"/>
    <w:basedOn w:val="DefaultParagraphFont"/>
    <w:uiPriority w:val="32"/>
    <w:qFormat/>
    <w:rsid w:val="00273DD0"/>
    <w:rPr>
      <w:b/>
      <w:bCs/>
      <w:smallCaps/>
      <w:color w:val="0F4761" w:themeColor="accent1" w:themeShade="BF"/>
      <w:spacing w:val="5"/>
    </w:rPr>
  </w:style>
  <w:style w:type="paragraph" w:customStyle="1" w:styleId="xmsolistparagraph">
    <w:name w:val="x_msolistparagraph"/>
    <w:basedOn w:val="Normal"/>
    <w:rsid w:val="00273DD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normal">
    <w:name w:val="x_msonormal"/>
    <w:basedOn w:val="Normal"/>
    <w:rsid w:val="00273DD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B330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6535</Characters>
  <Application>Microsoft Office Word</Application>
  <DocSecurity>0</DocSecurity>
  <Lines>145</Lines>
  <Paragraphs>89</Paragraphs>
  <ScaleCrop>false</ScaleCrop>
  <HeadingPairs>
    <vt:vector size="2" baseType="variant">
      <vt:variant>
        <vt:lpstr>Title</vt:lpstr>
      </vt:variant>
      <vt:variant>
        <vt:i4>1</vt:i4>
      </vt:variant>
    </vt:vector>
  </HeadingPairs>
  <TitlesOfParts>
    <vt:vector size="1" baseType="lpstr">
      <vt:lpstr/>
    </vt:vector>
  </TitlesOfParts>
  <Company>Kimley-Horn</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Demirci, Jonathan</dc:creator>
  <cp:keywords/>
  <dc:description/>
  <cp:lastModifiedBy>Robnik, Hannah</cp:lastModifiedBy>
  <cp:revision>11</cp:revision>
  <dcterms:created xsi:type="dcterms:W3CDTF">2026-03-26T18:42:00Z</dcterms:created>
  <dcterms:modified xsi:type="dcterms:W3CDTF">2026-03-26T22:37:00Z</dcterms:modified>
</cp:coreProperties>
</file>